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433</w:t>
      </w:r>
    </w:p>
    <w:p>
      <w:r>
        <w:t>Bundesgericht (BGE), 2019-08-19, DE</w:t>
      </w:r>
    </w:p>
    <w:p>
      <w:r>
        <w:rPr>
          <w:b/>
        </w:rPr>
        <w:t xml:space="preserve">Quelle: </w:t>
      </w:r>
      <w:r>
        <w:t>https://mcp.opencaselaw.ch/entscheid/bge_145 IV 433</w:t>
      </w:r>
    </w:p>
    <w:p>
      <w:r>
        <w:t>FR: ATF 145 IV 433</w:t>
      </w:r>
    </w:p>
    <w:p>
      <w:r>
        <w:t>IT: DTF 145 IV 433</w:t>
      </w:r>
    </w:p>
    <w:p>
      <w:pPr>
        <w:pStyle w:val="Heading2"/>
      </w:pPr>
      <w:r>
        <w:t>Regeste</w:t>
      </w:r>
    </w:p>
    <w:p>
      <w:r>
        <w:t>Regeste Art. 258, 259, 260 und 296 StGB; Art. 115, 118 und 382 StPO; geschützte Rechtsgüter; Geschädigtenstellung und Legitimation der Privatklägerschaft. Die Tatbestände der Schreckung der Bevölkerung (Art. 258 StGB), der öffentlichen Aufforderung zu Verbrechen oder zur Gewalttätigkeit (Art. 259 StGB), des Landfriedensbruchs (Art. 260 StGB) und der Beleidigung eines fremden Staates (Art. 296 StGB) schützen keine individuellen Rechtsgüter. Der fremde Staat, der sich darauf beruft, ist nicht geschädigt im Sinne von Art. 115 Abs. 1 StPO und nicht legitimiert, als Privatklägerschaft ein Rechtsmittel der StPO zu ergreifen (E. 3.5).</w:t>
      </w:r>
    </w:p>
    <w:p>
      <w:pPr>
        <w:pStyle w:val="Heading2"/>
      </w:pPr>
      <w:r>
        <w:t>Erwägungen</w:t>
      </w:r>
    </w:p>
    <w:p>
      <w:r>
        <w:rPr>
          <w:b/>
        </w:rPr>
        <w:t>E. 3</w:t>
      </w:r>
    </w:p>
    <w:p>
      <w:r>
        <w:t>(...)</w:t>
      </w:r>
    </w:p>
    <w:p>
      <w:r>
        <w:rPr>
          <w:b/>
        </w:rPr>
        <w:t>E. 3.5.1</w:t>
      </w:r>
    </w:p>
    <w:p>
      <w:r>
        <w:t>Das Bundesgericht beantwortete bisher nicht, welches Rechtsgut durch den Tatbestand der Schreckung der Bevölkerung gemäss Art. 258 StGB geschützt wird. Geht es nach der herrschenden Lehre, so ist es das Sicherheitsgefühl der Bevölkerung (DONATSCH/THOMEN/WOHLERS, Delikte gegen die Allgemeinheit, 5. Aufl. 2017, S. 184; STRATENWERTH/BOMMER, Besonderer Teil, Bd. II: Straftaten gegen Gemeininteressen, 7. Aufl. 2013, § 38 Rz. 2; HANS VEST, in: Delikte gegen den öffentlichen Frieden, 2007, N. 1 zu Art. 258 StGB ; STRATENWERTH/WOHLERS, Schweizerisches Strafgesetzbuch, Handkommentar, 3. Aufl. 2013, N. 1 zu Art. 258 StGB ) bzw. "le sentiment de sécurité" (DUPUIS UND ANDERE [Hrsg.], in: CP Code pénal, Petit commentaire, 2. Aufl. 2017, N. 2 zu Art. 258 StGB ). Gemäss FIOLKA soll auch das Interesse geschützt werden, Fehlallokationen gesellschaftlicher und materieller Ressourcen zu vermeiden (GERHARD FIOLKA, in: Basler Kommentar, Strafrecht, Bd. II, 4. Aufl. 2018, N. 5 ff. und 10 zu Art. 258 StGB ).</w:t>
      </w:r>
    </w:p>
    <w:p>
      <w:r>
        <w:rPr>
          <w:b/>
        </w:rPr>
        <w:t>E. 3.5.2</w:t>
      </w:r>
    </w:p>
    <w:p>
      <w:r>
        <w:t>Auch zur Frage, welchem Rechtsgut der Tatbestand der öffentlichen Aufforderung zu Verbrechen oder zur Gewalttätigkeit gemäss Art. 259 StGB verschrieben ist, äusserte sich das Bundesgericht bislang nicht. Hier nennt das Schrifttum gemeinhin den öffentlichen Frieden (STRATENWERTH/BOMMER, a.a.O., § 38 Rz. 9) bzw. "la paix publique" (DUPUIS UND ANDERE [Hrsg.], a.a.O., N. 1 zu Art. 259 StGB ). Nach WEDER gewährt Art. 259 StGB gleichzeitig einen präventiven Schutz gegen die Normbrüche, zu denen aufgerufen wird (ULRICH WEDER, in: Kommentar StGB, Schweizerisches Strafgesetzbuch, Donatsch und andere [Hrsg.], 20. Aufl. 2018, N. 1 zu Art. 259 StGB ). Ein anderer Teil der Lehre hält dafür, es liege ein Angriff auf die Gemeinschaft vor, was nicht ausschliesse, dass individuelle Güter bedroht würden oder zu Verbrechen gegen eine bestimmte Person aufgerufen werde (DUPUIS UND ANDERE [Hrsg.], a.a.O., N. 1 zu Art. 259 StGB , mit Hinweis auf Obergericht Schaffhausen, ABOG 1987, S. 111).</w:t>
      </w:r>
    </w:p>
    <w:p>
      <w:r>
        <w:rPr>
          <w:b/>
        </w:rPr>
        <w:t>E. 3.5.3</w:t>
      </w:r>
    </w:p>
    <w:p>
      <w:r>
        <w:t>Was den Landfriedensbruch gemäss Art. 260 StGB betrifft, hielt das Bundesgericht fest, der Straftatbestand wolle "die öffentliche Friedensordnung sichern" ( BGE 117 Ia 135 E. 2b; BGE 108 IV 33 E. 4). Charakteristisch für Landfriedensbruch sei die friedensstörende BGE 145 IV 433 S. 436 Grundstimmung, die sich auch aus der Art des Aufrufs zur Teilnahme oder den mitgeführten Hilfsmitteln ergeben könne. Landfriedensbruch als kollektive Gewalttätigkeit verletze die bestehende Friedensordnung und das Vertrauen in ihren Bestand (Urteil 6B_863/2013 vom 10. Juni 2014 E. 5.4 mit Hinweisen). In einem weiteren Leitentscheid präzisierte das Bundesgericht, dass Eigentümer, die bei Ausschreitungen Schaden erleiden, nicht als geschädigte Personen anzusehen seien, wenn es im Strafverfahren allein um Landfriedensbruch geht. Der Tatbestand schütze einzig die öffentliche Friedensordnung. Das Privatvermögen demgegenüber werde durch den Tatbestand der Sachbeschädigung aus Anlass einer öffentlichen Zusammenrottung gemäss Art. 145 Abs. 1 bis aStGB (heute: Art. 144 Abs. 2 StGB ) geschützt ( BGE 120 Ia 220 E. 3b S. 224). Auch die Lehre bezeichnet als geschütztes Rechtsgut den öffentlichen Frieden (STRATENWERTH/BOMMER, a.a.O., § 38 Rz. 20) bzw. "la paix publique" (DUPUIS UND ANDERE [Hrsg.], a.a.O., N. 1 sowie 4 zu Art. 260 StGB ) oder in Anlehnung an die zitierten Bundesgerichtsurteile die öffentliche Friedensordnung (WEDER, a.a.O., N. 2a zu Art. 260 StGB ; TRECHSEL/VEST, in: Schweizerisches Strafgesetzbuch, Praxiskommentar, 3. Aufl. 2018, N. 1 zu Art. 260 StGB ; MAZZUCCHELLI/POSTIZZI, in: Basler Kommentar, Schweizerische Strafprozessordnung, 2. Aufl. 2014, N. 74 zu Art. 115 StPO ). Dass individuelle Interessen am Eigentum nicht durch Art. 260 StGB geschützt werden, sondern durch Art. 144 Abs. 2 StGB , wird im Schrifttum mehrheitlich unterstützt (DUPUIS UND ANDERE [Hrsg.], a.a.O., N. 3 zu Art. 260 StGB ; MAZZUCCHELLI/POSTIZZI, a.a.O., N. 74 zu Art. 115 StPO ). Anderer Meinung ist FIOLKA, der den öffentlichen Frieden als selbstständiges Rechtsgut spezifischer Straftatbestände grundsätzlich ablehnt. Seiner Ansicht nach kommen als Rechtsgüter nur Interessen in Frage, die von einer strafgesetzlichen Regel spezifisch geschützt werden, nicht jedoch solche, die vom Strafrecht insgesamt, also von allen strafgesetzlichen Normen gleichermassen, geschützt werden (FIOLKA, a.a.O., N. 9 zu Art. 260 StGB ; vgl. auch N. 2 f. zu Vor Art. 258 mit zahlreichen Hinweisen). Doch auch FIOLKA nennt kein Individualrechtsgut, das durch Art. 260 StGB geschützt würde.</w:t>
      </w:r>
    </w:p>
    <w:p>
      <w:r>
        <w:rPr>
          <w:b/>
        </w:rPr>
        <w:t>E. 3.5.4</w:t>
      </w:r>
    </w:p>
    <w:p>
      <w:r>
        <w:t>Auch mit Blick auf die Beleidigung eines fremden Staats gemäss Art. 296 StGB hatte das Bundesgericht bislang nicht zu entscheiden, welches Rechtsgut geschützt wird. Nach der Literatur schützen die Straftatbestände des 16. Titels des StGB mit der Überschrift "Störung der Beziehungen zum Ausland" die nationalen BGE 145 IV 433 S. 437 Interessen der Schweiz an der Pflege korrekter Beziehungen zu ausländischen Staaten (DONATSCH/THOMMEN/WOHLERS, a.a.O., S. 448; STRATENWERTH/BOMMER, a.a.O., § 51 Rz. 1) bzw. "les intérêts de politique étrangère de la Confédération helvétique, c'est-à-dire l'intérêt qu'a la Suisse à maintenir de bonnes relations avec les Etats étrangers" (DUPUIS UND ANDERE [Hrsg.], a.a.O., N. 1 zu Vorbemerkungen zu Art. 296-302 StGB ). Allfällige Interessen anderer Staaten werden nur indirekt geschützt (DONATSCH/THOMMEN/WOHLERS, a.a.O., S. 448; ESTHER OMLIN, in: Basler Kommentar, Strafgesetzbuch, 3. Aufl. 2013, N. 2 zu Vor Art. 296 StGB ; TRECHSEL/VEST, a.a.O., N. 1 zu Vor Art. 296 StGB ; DUPUIS UND ANDERE [Hrsg.], a.a.O., N. 1 zu Vorbemerkungen zu Art. 296-302 StGB ; anderer Meinung: EDUARD ZELLWEGER, Schweizerisches Neutralitätsstrafrecht, ZStrR 55/1941 S. 61 ff., 64 f.). ISENRING hält dafür, die Tatbestände des 16. Titels des StGB schützten die nationalen Interessen der schweizerischen Aussenpolitik und damit auch die schweizerische Neutralitätspolitik (BERNHARD ISENRING, in: Kommentar StGB, Schweizerisches Strafgesetzbuch, Donatsch und andere [Hrsg.], 20. Aufl. 2018, N. 3 zu Art. 296 StGB ). Was Art. 296 StGB betrifft, werde die Ehre des fremden Staats geschützt und nicht jene dessen Repräsentanten (ISENRING, a.a.O., N. 4 zu Art. 296 StGB ; so auch TRECHSEL/VEST, a.a.O., N. 1 zu Art. 296 StGB ).</w:t>
      </w:r>
    </w:p>
    <w:p>
      <w:r>
        <w:rPr>
          <w:b/>
        </w:rPr>
        <w:t>E. 3.6</w:t>
      </w:r>
    </w:p>
    <w:p>
      <w:r>
        <w:t>Nach dem Gesagten zielen die fraglichen Straftatbestände in erster Linie auf den Schutz von kollektiven Rechtsgütern. Es sind keine individuellen Rechtsgüter zu erkennen, die als unmittelbare Folge einer allenfalls tatbestandsmässigen Handlung beeinträchtigt würden. Die Beschwerdeführerin kann kein Individualrechtsgut anrufen, das durch die fraglichen Straftatbestände nachrangig oder als Nebenzweck geschützt wäre. Allfällige Individualinteressen werden bloss mittelbar beeinträchtigt. Die Vorinstanz erwog zu Recht, dass das Generalkonsulat nicht unmittelbar in seinen Rechten verletzt worden ist. Denn es ist nicht Träger von Rechtsgütern, die durch die Tatbestände der Schreckung der Bevölkerung ( Art. 258 StGB ), der öffentlichen Aufforderung zu Verbrechen oder zur Gewalttätigkeit ( Art. 259 StGB ), des Landfriedensbruchs ( Art. 260 StGB ) und der Beleidigung eines fremden Staats ( Art. 296 StGB ) geschützt oder zumindest mitgeschützt würden. Da die Beschwerdeführerin nicht als geschädigt im Sinne von Art. 115 Abs. 1 StPO anzusehen ist, verwehrt ihm Art. 118 Abs. 1 StPO die Stellung als Privatklägerschaft. Somit zählt sie nicht zu den Parteien BGE 145 IV 433 S. 438 gemäss Art. 104 StPO , weshalb sie nach Art. 382 Abs. 1 StPO nicht zur Beschwerde an die Vorinstanz legitimiert war. Dasselbe würde gelten, wenn die Vorinstanz die Republik Türkei als Privatklägerschaft angesehen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